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44B" w:rsidRDefault="0071644B">
      <w:pPr>
        <w:widowControl w:val="0"/>
        <w:autoSpaceDE w:val="0"/>
        <w:autoSpaceDN w:val="0"/>
        <w:adjustRightInd w:val="0"/>
        <w:spacing w:after="0" w:line="240" w:lineRule="auto"/>
        <w:ind w:firstLine="540"/>
        <w:jc w:val="both"/>
        <w:outlineLvl w:val="0"/>
        <w:rPr>
          <w:rFonts w:ascii="Calibri" w:hAnsi="Calibri" w:cs="Calibri"/>
        </w:rPr>
      </w:pP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"Финансовый вестник: финансы, налоги, страхование, бухгалтерский учет", 2013, N 2</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СОВЕРШЕНСТВОВАНИЕ УЧЕТА ЗАТРАТ И КАЛЬКУЛИРОВАНИЯ</w:t>
      </w:r>
    </w:p>
    <w:p w:rsidR="0071644B" w:rsidRDefault="0071644B">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СЕБЕСТОИМОСТИ ПРОДУКЦИИ В СООТВЕТСТВИИ С МСФО</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статье сравниваются основные подходы к учету затрат и калькулированию себестоимости продукции, используемые в МСФО и отечественных стандартах в области бухгалтерского учета, в том числе в проекте ПБУ 5/2012 "Учет запасов", и обосновываются предложения по ужесточению порядка включения в себестоимость продукции непроизводительных и неэффективных затрат.</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сохраняет всю свою актуальность вопрос о совершенствовании учета затрат и калькулировании себестоимости продукции как основного ценообразующего фактора.</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0" w:name="Par10"/>
      <w:bookmarkEnd w:id="0"/>
      <w:r>
        <w:rPr>
          <w:rFonts w:ascii="Calibri" w:hAnsi="Calibri" w:cs="Calibri"/>
        </w:rPr>
        <w:t>Основной ценообразующий фактор</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Себестоимость продукции является одним из основных показателей эффективности деятельности организации. Отечественная теория и практика производственного учета располагает достаточно широким спектром методов калькулирования себестоимости продукции (метод расчета полной фактической себестоимости, метод расчета сокращенной производственной себестоимости, нормативный метод, попроцессный (попередельный) и позаказный метод). Выбранный метод учета затрат и калькулирования себестоимости продукции является обязательным элементом учетной политики предприятия, который закрепляет порядок оценки материальных запасов и списания их в производство, методы начисления амортизации по основным средствам и нематериальным активам, а также порядок включения в себестоимость расходов по оплате труда. </w:t>
      </w:r>
      <w:proofErr w:type="gramStart"/>
      <w:r>
        <w:rPr>
          <w:rFonts w:ascii="Calibri" w:hAnsi="Calibri" w:cs="Calibri"/>
        </w:rPr>
        <w:t>Вместе с тем в отечественных стандартах бухгалтерского учета нет никаких указаний по этому вопросу (за исключением проекта ПБУ 5/2012 "Учет запасов", где имеется перечень затрат, которые не будут включаться в себестоимость запасов (расходы на хранение, за исключением случаев, когда хранение является частью технологии производства; расходы, связанные с простоями, сбоями, нарушениями производственного процесса;</w:t>
      </w:r>
      <w:proofErr w:type="gramEnd"/>
      <w:r>
        <w:rPr>
          <w:rFonts w:ascii="Calibri" w:hAnsi="Calibri" w:cs="Calibri"/>
        </w:rPr>
        <w:t xml:space="preserve"> обесценение других активов, независимо от того, использовались ли эти активы в производстве запасов; при неполной загрузке производственных мощностей; та часть общепроизводственных расходов, которая не снижается пропорционально снижению объемов производства).</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1" w:name="Par14"/>
      <w:bookmarkEnd w:id="1"/>
      <w:r>
        <w:rPr>
          <w:rFonts w:ascii="Calibri" w:hAnsi="Calibri" w:cs="Calibri"/>
        </w:rPr>
        <w:t>МСФО и национальные стандарты</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методика расчета себестоимости готовой продукции по МСФО и национальным стандартам одинакова. Основными элементами себестоимости являются: материальные затраты, затраты на оплату труда (с отчислениями), амортизация и прочие расходы.</w:t>
      </w:r>
    </w:p>
    <w:p w:rsidR="0071644B" w:rsidRDefault="0071644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 сожалению, основным и существенным отличием </w:t>
      </w:r>
      <w:hyperlink r:id="rId5" w:history="1">
        <w:r>
          <w:rPr>
            <w:rFonts w:ascii="Calibri" w:hAnsi="Calibri" w:cs="Calibri"/>
            <w:color w:val="0000FF"/>
          </w:rPr>
          <w:t>МСФО (IAS) 2</w:t>
        </w:r>
      </w:hyperlink>
      <w:r>
        <w:rPr>
          <w:rFonts w:ascii="Calibri" w:hAnsi="Calibri" w:cs="Calibri"/>
        </w:rPr>
        <w:t xml:space="preserve"> "Запасы" от национальных стандартов, включая проект ПБУ 5/2012 "Учет запасов", является отсутствие даже упоминания о сверхнормативных потерях сырья и материалов, затраченного труда и прочих производственных затрат, их учет позволил бы значительно ужесточить контроль за эффективностью использования сырья и материалов при производстве продукции.</w:t>
      </w:r>
      <w:proofErr w:type="gramEnd"/>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развитой рыночной экономике предприятие обязательно должно иметь плановую калькуляцию затрат на производство продукции и отслеживать отклонения от норм, выявленные в процессе производства. Перерасход норм свидетельствует о существенных недостатках в производственном процессе, а также о недостаточной обоснованности применяемых норм. При превышении норм излишние затраты признаются в качестве текущих убытков и не включаются в себестоимость продукции. В национальных стандартах эти правила не используются.</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Вместе с тем отдельные элементы </w:t>
      </w:r>
      <w:proofErr w:type="gramStart"/>
      <w:r>
        <w:rPr>
          <w:rFonts w:ascii="Calibri" w:hAnsi="Calibri" w:cs="Calibri"/>
        </w:rPr>
        <w:t>контроля за</w:t>
      </w:r>
      <w:proofErr w:type="gramEnd"/>
      <w:r>
        <w:rPr>
          <w:rFonts w:ascii="Calibri" w:hAnsi="Calibri" w:cs="Calibri"/>
        </w:rPr>
        <w:t xml:space="preserve"> эффективностью использования сырья и материалов можно найти в Методических </w:t>
      </w:r>
      <w:hyperlink r:id="rId6" w:history="1">
        <w:r>
          <w:rPr>
            <w:rFonts w:ascii="Calibri" w:hAnsi="Calibri" w:cs="Calibri"/>
            <w:color w:val="0000FF"/>
          </w:rPr>
          <w:t>указаниях</w:t>
        </w:r>
      </w:hyperlink>
      <w:r>
        <w:rPr>
          <w:rFonts w:ascii="Calibri" w:hAnsi="Calibri" w:cs="Calibri"/>
        </w:rPr>
        <w:t xml:space="preserve"> по бухгалтерскому учету материально-производственных запасов. Так, в </w:t>
      </w:r>
      <w:hyperlink r:id="rId7" w:history="1">
        <w:r>
          <w:rPr>
            <w:rFonts w:ascii="Calibri" w:hAnsi="Calibri" w:cs="Calibri"/>
            <w:color w:val="0000FF"/>
          </w:rPr>
          <w:t>п. 6</w:t>
        </w:r>
      </w:hyperlink>
      <w:r>
        <w:rPr>
          <w:rFonts w:ascii="Calibri" w:hAnsi="Calibri" w:cs="Calibri"/>
        </w:rPr>
        <w:t xml:space="preserve"> Указаний записано, что основными задачами учета МПЗ являются:</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формирование фактической себестоимости запасов;</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proofErr w:type="gramStart"/>
      <w:r>
        <w:rPr>
          <w:rFonts w:ascii="Calibri" w:hAnsi="Calibri" w:cs="Calibri"/>
        </w:rPr>
        <w:t>контроль за</w:t>
      </w:r>
      <w:proofErr w:type="gramEnd"/>
      <w:r>
        <w:rPr>
          <w:rFonts w:ascii="Calibri" w:hAnsi="Calibri" w:cs="Calibri"/>
        </w:rPr>
        <w:t xml:space="preserve"> соблюдением установленных организацией норм запасов, обеспечивающих бесперебойный выпуск продукции, выполнение работ, оказание услуг;</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своевременное выявление ненужных запасов с целью их возможной продажи или выявления иных возможностей вовлечения их в оборот;</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проведение анализа эффективности использования запасов.</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8" w:history="1">
        <w:r>
          <w:rPr>
            <w:rFonts w:ascii="Calibri" w:hAnsi="Calibri" w:cs="Calibri"/>
            <w:color w:val="0000FF"/>
          </w:rPr>
          <w:t>п. 92</w:t>
        </w:r>
      </w:hyperlink>
      <w:r>
        <w:rPr>
          <w:rFonts w:ascii="Calibri" w:hAnsi="Calibri" w:cs="Calibri"/>
        </w:rPr>
        <w:t xml:space="preserve"> этих же Методических указаний сказано, что материалы отпускаются с центральных складов в производство в соответствии с установленными нормами и объемами производственной программы (заданиями). Отпуск материалов сверх норм осуществляется в порядке, установленном в данной организации.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2" w:name="Par26"/>
      <w:bookmarkEnd w:id="2"/>
      <w:r>
        <w:rPr>
          <w:rFonts w:ascii="Calibri" w:hAnsi="Calibri" w:cs="Calibri"/>
        </w:rPr>
        <w:t>Порядок списания</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Также достаточно подробно в этих Указаниях изложен порядок списания материалов </w:t>
      </w:r>
      <w:hyperlink r:id="rId9" w:history="1">
        <w:r>
          <w:rPr>
            <w:rFonts w:ascii="Calibri" w:hAnsi="Calibri" w:cs="Calibri"/>
            <w:color w:val="0000FF"/>
          </w:rPr>
          <w:t>(п. 98)</w:t>
        </w:r>
      </w:hyperlink>
      <w:r>
        <w:rPr>
          <w:rFonts w:ascii="Calibri" w:hAnsi="Calibri" w:cs="Calibri"/>
        </w:rPr>
        <w:t>: "на фактически израсходованные материалы, подразделение - получатель материалов составляет акт расхода, в котором указываются наименование, количество, учетная цена и сумма по каждому наименованию, номер (шифр) и (или) наименование заказа, для изготовления которого они израсходованы, либо номер (шифр) и (или) наименование затрат, количество и сумма по нормам расхода, количество и</w:t>
      </w:r>
      <w:proofErr w:type="gramEnd"/>
      <w:r>
        <w:rPr>
          <w:rFonts w:ascii="Calibri" w:hAnsi="Calibri" w:cs="Calibri"/>
        </w:rPr>
        <w:t xml:space="preserve"> сумма расхода сверх норм и их причины..." - и порядок определения лимитов </w:t>
      </w:r>
      <w:hyperlink r:id="rId10" w:history="1">
        <w:r>
          <w:rPr>
            <w:rFonts w:ascii="Calibri" w:hAnsi="Calibri" w:cs="Calibri"/>
            <w:color w:val="0000FF"/>
          </w:rPr>
          <w:t>(п. 99)</w:t>
        </w:r>
      </w:hyperlink>
      <w:r>
        <w:rPr>
          <w:rFonts w:ascii="Calibri" w:hAnsi="Calibri" w:cs="Calibri"/>
        </w:rPr>
        <w:t xml:space="preserve">. Далее в том же </w:t>
      </w:r>
      <w:hyperlink r:id="rId11" w:history="1">
        <w:r>
          <w:rPr>
            <w:rFonts w:ascii="Calibri" w:hAnsi="Calibri" w:cs="Calibri"/>
            <w:color w:val="0000FF"/>
          </w:rPr>
          <w:t>пункте</w:t>
        </w:r>
      </w:hyperlink>
      <w:r>
        <w:rPr>
          <w:rFonts w:ascii="Calibri" w:hAnsi="Calibri" w:cs="Calibri"/>
        </w:rPr>
        <w:t xml:space="preserve"> говорится, что "лимиты на отпуск материалов устанавливаются на основе разработанных соответствующими службами организации норм расхода материалов, производственных программ подразделений организации с учетом остатков материалов на начало и конец планируемого периода".</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3" w:name="Par30"/>
      <w:bookmarkEnd w:id="3"/>
      <w:r>
        <w:rPr>
          <w:rFonts w:ascii="Calibri" w:hAnsi="Calibri" w:cs="Calibri"/>
        </w:rPr>
        <w:t>Потери и перерасход материалов</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видно из анализа содержания Методических </w:t>
      </w:r>
      <w:hyperlink r:id="rId12" w:history="1">
        <w:r>
          <w:rPr>
            <w:rFonts w:ascii="Calibri" w:hAnsi="Calibri" w:cs="Calibri"/>
            <w:color w:val="0000FF"/>
          </w:rPr>
          <w:t>указаний</w:t>
        </w:r>
      </w:hyperlink>
      <w:r>
        <w:rPr>
          <w:rFonts w:ascii="Calibri" w:hAnsi="Calibri" w:cs="Calibri"/>
        </w:rPr>
        <w:t xml:space="preserve"> по бухгалтерскому учету материально-производственных запасов, организации должны уделять серьезное внимание установлению норм расхода сырья и материалов, лимитов и сверхлимитному расходу сырья и материалов, а также установлению причин перерасхода. Вместе с тем согласно отечественным правилам бухгалтерского учета все сверхнормативные потери включаются исключительно в затраты, а следовательно, в себестоимость продукции. Счет прибылей и убытков для списания неэффективных затрат не используется. Следовательно, у организаций (особенно у монополистов) отсутствует стимул к снижению затрат, а тем самым и себестоимости продукции.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4" w:name="Par34"/>
      <w:bookmarkEnd w:id="4"/>
      <w:r>
        <w:rPr>
          <w:rFonts w:ascii="Calibri" w:hAnsi="Calibri" w:cs="Calibri"/>
        </w:rPr>
        <w:t>Накладные расходы</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Также следует остановиться на включении в себестоимость продукции накладных расходов. </w:t>
      </w:r>
      <w:proofErr w:type="gramStart"/>
      <w:r>
        <w:rPr>
          <w:rFonts w:ascii="Calibri" w:hAnsi="Calibri" w:cs="Calibri"/>
        </w:rPr>
        <w:t>По способу использования в процессе производства все расходы подразделяются на прямые (сырье, материалы, из которых производится продукция, заработная плата основных производственных рабочих) и накладные, которые подразделяются на производственные (связанные с производством) и расходы общего характера (расходы периода) (в отечественном бухгалтерском учете учитываются на счете 26 "Общехозяйственные расходы").</w:t>
      </w:r>
      <w:proofErr w:type="gramEnd"/>
      <w:r>
        <w:rPr>
          <w:rFonts w:ascii="Calibri" w:hAnsi="Calibri" w:cs="Calibri"/>
        </w:rPr>
        <w:t xml:space="preserve"> В соответствии с </w:t>
      </w:r>
      <w:hyperlink r:id="rId13" w:history="1">
        <w:r>
          <w:rPr>
            <w:rFonts w:ascii="Calibri" w:hAnsi="Calibri" w:cs="Calibri"/>
            <w:color w:val="0000FF"/>
          </w:rPr>
          <w:t>МСФО (IAS) 2</w:t>
        </w:r>
      </w:hyperlink>
      <w:r>
        <w:rPr>
          <w:rFonts w:ascii="Calibri" w:hAnsi="Calibri" w:cs="Calibri"/>
        </w:rPr>
        <w:t xml:space="preserve"> "Запасы" накладные расходы общего характера в себестоимость запасов не включаются (кроме случаев, когда они связаны с доведением запасов до их настоящего местоположения и состояния). Эти расходы подлежат признанию в качестве текущих расходов (расходов периода). В соответствии с п. 16 проекта ПБУ 5/2012 "Запасы" в себестоимость запасов также не включаются общехозяйственные расходы.</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Переменные производственные накладные расходы - это косвенные производственные расходы (требующие распределения пропорционально выбранной базе), которые имеют прямую или почти прямую зависимость от объема производства (вспомогательные материалы, оплата труда вспомогательных рабочих и т.д.). Согласно </w:t>
      </w:r>
      <w:hyperlink r:id="rId14" w:history="1">
        <w:r>
          <w:rPr>
            <w:rFonts w:ascii="Calibri" w:hAnsi="Calibri" w:cs="Calibri"/>
            <w:color w:val="0000FF"/>
          </w:rPr>
          <w:t>МСФО</w:t>
        </w:r>
      </w:hyperlink>
      <w:r>
        <w:rPr>
          <w:rFonts w:ascii="Calibri" w:hAnsi="Calibri" w:cs="Calibri"/>
        </w:rPr>
        <w:t xml:space="preserve"> эти расходы относятся на единицу продукции на основе фактического использования производственных мощностей.</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отечественном бухгалтерском учете для учета этого вида расходов можно использовать </w:t>
      </w:r>
      <w:r>
        <w:rPr>
          <w:rFonts w:ascii="Calibri" w:hAnsi="Calibri" w:cs="Calibri"/>
        </w:rPr>
        <w:lastRenderedPageBreak/>
        <w:t>счет 25.1 "Общепроизводственные переменные расходы".</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Постоянные производственные накладные расходы - это косвенные производственные расходы, которые остаются практически неизменными независимо от объема производства (амортизация производственных зданий и сооружений, административные расходы и т.д.). Согласно </w:t>
      </w:r>
      <w:hyperlink r:id="rId15" w:history="1">
        <w:r>
          <w:rPr>
            <w:rFonts w:ascii="Calibri" w:hAnsi="Calibri" w:cs="Calibri"/>
            <w:color w:val="0000FF"/>
          </w:rPr>
          <w:t>МСФО (IAS) 2</w:t>
        </w:r>
      </w:hyperlink>
      <w:r>
        <w:rPr>
          <w:rFonts w:ascii="Calibri" w:hAnsi="Calibri" w:cs="Calibri"/>
        </w:rPr>
        <w:t xml:space="preserve"> "Запасы" распределение этого вида расходов на себестоимость продукции осуществляется исходя из производственных мощностей организации при работе в нормальных условиях, исходя из нормальной производственной мощности.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отечественном бухгалтерском учете для учета этого вида расходов можно использовать счет 25.2 "Общепроизводственные постоянные расходы".</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Вместе с тем в настоящее время в нормативных актах по бухгалтерскому учету отсутствуют нормы, регламентирующие включение в производственную себестоимость продукции переменных и постоянных производственных накладных расходов. В </w:t>
      </w:r>
      <w:hyperlink r:id="rId16" w:history="1">
        <w:r>
          <w:rPr>
            <w:rFonts w:ascii="Calibri" w:hAnsi="Calibri" w:cs="Calibri"/>
            <w:color w:val="0000FF"/>
          </w:rPr>
          <w:t>МСФО (IAS) 2</w:t>
        </w:r>
      </w:hyperlink>
      <w:r>
        <w:rPr>
          <w:rFonts w:ascii="Calibri" w:hAnsi="Calibri" w:cs="Calibri"/>
        </w:rPr>
        <w:t xml:space="preserve"> "Запасы" переменные производственные накладные расходы включаются в себестоимость пропорционально фактическому объему произведенной продукции.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5" w:name="Par43"/>
      <w:bookmarkEnd w:id="5"/>
      <w:r>
        <w:rPr>
          <w:rFonts w:ascii="Calibri" w:hAnsi="Calibri" w:cs="Calibri"/>
        </w:rPr>
        <w:t>Учет запасов при неполной загрузке</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п. 16 проекта ПБУ 5/2012 "Учет запасов" в себестоимость запасов не включается при неполной загрузке производственных мощностей та часть общепроизводственных расходов, которая не снижается пропорционально снижению объемов производства (постоянные производственные накладные расходы). Следовательно, в отечественном бухгалтерском учете появилась необходимость введения понятия нормальной производственной мощности, которое можно позаимствовать из </w:t>
      </w:r>
      <w:hyperlink r:id="rId17" w:history="1">
        <w:r>
          <w:rPr>
            <w:rFonts w:ascii="Calibri" w:hAnsi="Calibri" w:cs="Calibri"/>
            <w:color w:val="0000FF"/>
          </w:rPr>
          <w:t>МСФО (IAS) 2</w:t>
        </w:r>
      </w:hyperlink>
      <w:r>
        <w:rPr>
          <w:rFonts w:ascii="Calibri" w:hAnsi="Calibri" w:cs="Calibri"/>
        </w:rPr>
        <w:t xml:space="preserve"> "Запасы".</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Нормальная производственная мощность - это ожидаемый объем производства, который рассчитывается на основе средних показателей за несколько периодов или сезонов работы при нормальном ходе дел с учетом потери мощности в результате планового технического обслуживания. При определении нормальной производственной мощности важны не только и не столько технические характеристики производственных мощностей, сколько доводимое плановое задание по использованию производственных мощностей.</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1. Производственные мощности организации рассчитаны на переработку 5 тыс. т сырья в год. За год организация переработала 4,5 тыс. т сырья. Нормальная производственная мощность за период определяется как отношение фактического количества переработанного сырья на количество периодов в анализируемом промежутке времени. Нормальная производственная мощность за месяц равна 375 т (4,5 тыс. т / 12 мес.). Если постоянные накладные производственные расходы равняются 450 тыс. руб. в месяц, то на 1 т переработанного сырья они составят 1,2 тыс. руб. (450 тыс. руб. / 375 т).</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18" w:history="1">
        <w:r>
          <w:rPr>
            <w:rFonts w:ascii="Calibri" w:hAnsi="Calibri" w:cs="Calibri"/>
            <w:color w:val="0000FF"/>
          </w:rPr>
          <w:t>МСФО (IAS) 2</w:t>
        </w:r>
      </w:hyperlink>
      <w:r>
        <w:rPr>
          <w:rFonts w:ascii="Calibri" w:hAnsi="Calibri" w:cs="Calibri"/>
        </w:rPr>
        <w:t xml:space="preserve"> "Запасы" при простоях сумма постоянных накладных производственных расходов, относимых на единицу продукции, не должна увеличиваться. Общую сумму постоянных накладных расходов следует распределить на единицу продукции, как это было бы при нормальном течении дел. При этом нераспределенные накладные расходы признаются текущими расходами в месяце их возникновения.</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Отклонения могут возникнуть и при существенном перевыполнении плана. В этом случае </w:t>
      </w:r>
      <w:hyperlink r:id="rId19" w:history="1">
        <w:r>
          <w:rPr>
            <w:rFonts w:ascii="Calibri" w:hAnsi="Calibri" w:cs="Calibri"/>
            <w:color w:val="0000FF"/>
          </w:rPr>
          <w:t>МСФО (IAS) 2</w:t>
        </w:r>
      </w:hyperlink>
      <w:r>
        <w:rPr>
          <w:rFonts w:ascii="Calibri" w:hAnsi="Calibri" w:cs="Calibri"/>
        </w:rPr>
        <w:t xml:space="preserve"> "Запасы" указывает сумму постоянных накладных производственных расходов, относимых на каждую единицу продукции, уменьшая ее так, чтобы запасы не оценивались сверх себестоимости.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2. Сумма амортизации оборудования в месяц составляет 30 тыс. руб., нормальная производственная мощность - 500 ед. продукции. В мае цех выпустил 489 ед. продукции, в июне - 506 ед. продукции, а в июле из-за простоев - 350 ед. продукции.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 расчете себестоимости произведенной продукции сумма амортизации оборудования будет распределяться в мае на 489 ед., в июне - на 506 ед., так как эти фактические показатели соответствуют нормальной выработке, а в июле - на 500 ед. продукции, т.е. на нормальную </w:t>
      </w:r>
      <w:r>
        <w:rPr>
          <w:rFonts w:ascii="Calibri" w:hAnsi="Calibri" w:cs="Calibri"/>
        </w:rPr>
        <w:lastRenderedPageBreak/>
        <w:t>загрузку оборудования.</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3. Сумма амортизации в расчете на единицу продукции при нормальной загрузке 60 руб. (30 тыс. руб. / 500 ед. продукции). Фактически произведено 350 ед. продукции. Следовательно, сумма амортизации (постоянные накладные производственные расходы) составит 21 тыс. руб. (60 руб. x 350 ед. продукции). Оставшаяся сумма накладных расходов в размере 8 тыс. руб. (30 тыс. руб. - 22 тыс. руб.) должна быть признана расходом текущего периода и в себестоимость готовой продукции не включается.</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Практически этот подход также изложен в проекте ПБУ 5/2012 "Учет запасов". Следовательно, в системе отечественного бухгалтерского учета необходимо осуществлять учет выработки отдельных видов оборудования. Так, согласно </w:t>
      </w:r>
      <w:hyperlink r:id="rId20" w:history="1">
        <w:r>
          <w:rPr>
            <w:rFonts w:ascii="Calibri" w:hAnsi="Calibri" w:cs="Calibri"/>
            <w:color w:val="0000FF"/>
          </w:rPr>
          <w:t>п. 19</w:t>
        </w:r>
      </w:hyperlink>
      <w:r>
        <w:rPr>
          <w:rFonts w:ascii="Calibri" w:hAnsi="Calibri" w:cs="Calibri"/>
        </w:rPr>
        <w:t xml:space="preserve"> Методических указаний по бухгалтерскому учету основных средств на основе данных бухгалтерского учета, а также технической документации в организации осуществляется </w:t>
      </w:r>
      <w:proofErr w:type="gramStart"/>
      <w:r>
        <w:rPr>
          <w:rFonts w:ascii="Calibri" w:hAnsi="Calibri" w:cs="Calibri"/>
        </w:rPr>
        <w:t>контроль за</w:t>
      </w:r>
      <w:proofErr w:type="gramEnd"/>
      <w:r>
        <w:rPr>
          <w:rFonts w:ascii="Calibri" w:hAnsi="Calibri" w:cs="Calibri"/>
        </w:rPr>
        <w:t xml:space="preserve"> использованием основных средств. К числу показателей, характеризующих использование основных средств, могут относиться: данные о наличии основных сре</w:t>
      </w:r>
      <w:proofErr w:type="gramStart"/>
      <w:r>
        <w:rPr>
          <w:rFonts w:ascii="Calibri" w:hAnsi="Calibri" w:cs="Calibri"/>
        </w:rPr>
        <w:t>дств с р</w:t>
      </w:r>
      <w:proofErr w:type="gramEnd"/>
      <w:r>
        <w:rPr>
          <w:rFonts w:ascii="Calibri" w:hAnsi="Calibri" w:cs="Calibri"/>
        </w:rPr>
        <w:t xml:space="preserve">азбивкой их на собственные или арендованные, действующие и неиспользуемые; данные о рабочем времени и простоях по группам основных средств; данные о выпуске продукции (работ, услуг) в разрезе объектов основных средств и др. В связи совершенствованием учета материально-производственных запасов этот </w:t>
      </w:r>
      <w:hyperlink r:id="rId21" w:history="1">
        <w:r>
          <w:rPr>
            <w:rFonts w:ascii="Calibri" w:hAnsi="Calibri" w:cs="Calibri"/>
            <w:color w:val="0000FF"/>
          </w:rPr>
          <w:t>пункт</w:t>
        </w:r>
      </w:hyperlink>
      <w:r>
        <w:rPr>
          <w:rFonts w:ascii="Calibri" w:hAnsi="Calibri" w:cs="Calibri"/>
        </w:rPr>
        <w:t xml:space="preserve"> необходимо перенести в </w:t>
      </w:r>
      <w:hyperlink r:id="rId22" w:history="1">
        <w:r>
          <w:rPr>
            <w:rFonts w:ascii="Calibri" w:hAnsi="Calibri" w:cs="Calibri"/>
            <w:color w:val="0000FF"/>
          </w:rPr>
          <w:t>ПБУ 6/01</w:t>
        </w:r>
      </w:hyperlink>
      <w:r>
        <w:rPr>
          <w:rFonts w:ascii="Calibri" w:hAnsi="Calibri" w:cs="Calibri"/>
        </w:rPr>
        <w:t xml:space="preserve"> "Учет основных средств".</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Также согласно </w:t>
      </w:r>
      <w:hyperlink r:id="rId23" w:history="1">
        <w:r>
          <w:rPr>
            <w:rFonts w:ascii="Calibri" w:hAnsi="Calibri" w:cs="Calibri"/>
            <w:color w:val="0000FF"/>
          </w:rPr>
          <w:t>МСФО (IAS) 2</w:t>
        </w:r>
      </w:hyperlink>
      <w:r>
        <w:rPr>
          <w:rFonts w:ascii="Calibri" w:hAnsi="Calibri" w:cs="Calibri"/>
        </w:rPr>
        <w:t xml:space="preserve"> "Запасы" для распределения постоянных накладных производственных расходов можно использовать фактический уровень производства в том случае, когда он приблизительно соответствует нормальной производственной мощности.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Пример 4. Нормальная производственная мощность оборудования - 50 деталей за один рабочий день. Амортизация оборудования за месяц линейным методом - 2000 руб. В апреле выпущено 1200 деталей (24 рабочих дня, 3 из которых оборудование не работало из-за поломки). Нормальная производственная мощность составит за апрель 1050 деталей (50 деталей x 21 день) с учетом трех дней поломки. Так как количество выпущенных деталей равно 1200, что превышает нормальную производственную мощность оборудования, распределение постоянных накладных расходов исходя из нормальных условий составит 1,9 руб. на деталь (2000 руб.</w:t>
      </w:r>
      <w:proofErr w:type="gramStart"/>
      <w:r>
        <w:rPr>
          <w:rFonts w:ascii="Calibri" w:hAnsi="Calibri" w:cs="Calibri"/>
        </w:rPr>
        <w:t xml:space="preserve"> :</w:t>
      </w:r>
      <w:proofErr w:type="gramEnd"/>
      <w:r>
        <w:rPr>
          <w:rFonts w:ascii="Calibri" w:hAnsi="Calibri" w:cs="Calibri"/>
        </w:rPr>
        <w:t xml:space="preserve"> 1050 деталей), что приведет к завышению себестоимости продукции. Поэтому распределение этого вида расходов должно производиться исходя из фактического выпуска - 1200 деталей.</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6" w:name="Par63"/>
      <w:bookmarkEnd w:id="6"/>
      <w:r>
        <w:rPr>
          <w:rFonts w:ascii="Calibri" w:hAnsi="Calibri" w:cs="Calibri"/>
        </w:rPr>
        <w:t>Признание активов в качестве основных средств:</w:t>
      </w:r>
    </w:p>
    <w:p w:rsidR="0071644B" w:rsidRDefault="0071644B">
      <w:pPr>
        <w:widowControl w:val="0"/>
        <w:autoSpaceDE w:val="0"/>
        <w:autoSpaceDN w:val="0"/>
        <w:adjustRightInd w:val="0"/>
        <w:spacing w:after="0" w:line="240" w:lineRule="auto"/>
        <w:jc w:val="center"/>
        <w:rPr>
          <w:rFonts w:ascii="Calibri" w:hAnsi="Calibri" w:cs="Calibri"/>
        </w:rPr>
      </w:pPr>
      <w:r>
        <w:rPr>
          <w:rFonts w:ascii="Calibri" w:hAnsi="Calibri" w:cs="Calibri"/>
        </w:rPr>
        <w:t>МСФО и отечественные стандарты</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Значительные расхождения относительно признания активов в качестве основных средств также существуют в отечественных и международных стандартах бухгалтерского учета, что в конечном итоге влияет и на себестоимость продукции. Так, согласно </w:t>
      </w:r>
      <w:hyperlink r:id="rId24" w:history="1">
        <w:r>
          <w:rPr>
            <w:rFonts w:ascii="Calibri" w:hAnsi="Calibri" w:cs="Calibri"/>
            <w:color w:val="0000FF"/>
          </w:rPr>
          <w:t>МСФО (IAS) 16</w:t>
        </w:r>
      </w:hyperlink>
      <w:r>
        <w:rPr>
          <w:rFonts w:ascii="Calibri" w:hAnsi="Calibri" w:cs="Calibri"/>
        </w:rPr>
        <w:t xml:space="preserve"> "Основные средства" основные средства представляют собой материальные активы, которые предназначены для использования в производстве или поставке товаров и услуг, для сдачи в аренду третьим лицам или для административных целей, предполагается их использование в течение более чем одного периода. Себестоимость объекта основных средств подлежит признанию в качестве актива только в том случае, если поступление в организацию связанных с данным объектом будущих экономических выгод является вероятным и себестоимость данного объекта может быть достоверно оценена. Согласно </w:t>
      </w:r>
      <w:hyperlink r:id="rId25" w:history="1">
        <w:r>
          <w:rPr>
            <w:rFonts w:ascii="Calibri" w:hAnsi="Calibri" w:cs="Calibri"/>
            <w:color w:val="0000FF"/>
          </w:rPr>
          <w:t>п. 4</w:t>
        </w:r>
      </w:hyperlink>
      <w:r>
        <w:rPr>
          <w:rFonts w:ascii="Calibri" w:hAnsi="Calibri" w:cs="Calibri"/>
        </w:rPr>
        <w:t xml:space="preserve"> ПБУ 6/01 "Учет основных средств" актив принимается организацией к бухгалтерскому учету в качестве основных средств, если одновременно выполняются следующие условия:</w:t>
      </w:r>
    </w:p>
    <w:p w:rsidR="0071644B" w:rsidRDefault="0071644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объект предназначен для использования в производстве продукции, при выполнении работ или оказании услуг, для управленческих нужд организации либо для представления организацией за плату во временное владение или пользование или во временное пользование;</w:t>
      </w:r>
      <w:proofErr w:type="gramEnd"/>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объект предназначен для использования в течение длительного времени, т.е. срока продолжительностью свыше года или в операционном цикле, который превышает 12 месяцев;</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объект способен приносить организации экономические выгоды (доход в будущем).</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7" w:name="Par71"/>
      <w:bookmarkEnd w:id="7"/>
      <w:r>
        <w:rPr>
          <w:rFonts w:ascii="Calibri" w:hAnsi="Calibri" w:cs="Calibri"/>
        </w:rPr>
        <w:t>Степень использования основных средств</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Ни один отечественный нормативный документ по бухгалтерскому учету основных средств не определяет порядок оценки степени (уровня) использования основных средств в организации. Следовательно, по не используемым по целевому назначению (в основной деятельности) основным средствам отечественные организации продолжают начислять амортизацию, которая включается в себестоимость продукции, на основе которой формируется цена, а затем в виде выручки она приходуется организацией. Согласно </w:t>
      </w:r>
      <w:hyperlink r:id="rId26" w:history="1">
        <w:r>
          <w:rPr>
            <w:rFonts w:ascii="Calibri" w:hAnsi="Calibri" w:cs="Calibri"/>
            <w:color w:val="0000FF"/>
          </w:rPr>
          <w:t>МСФО (IAS) 16</w:t>
        </w:r>
      </w:hyperlink>
      <w:r>
        <w:rPr>
          <w:rFonts w:ascii="Calibri" w:hAnsi="Calibri" w:cs="Calibri"/>
        </w:rPr>
        <w:t xml:space="preserve"> "Основные средства" при применении метода амортизации актива на основе его использования амортизационное начисление может равняться нулю, пока актив ничего не производит.</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8" w:name="Par75"/>
      <w:bookmarkEnd w:id="8"/>
      <w:r>
        <w:rPr>
          <w:rFonts w:ascii="Calibri" w:hAnsi="Calibri" w:cs="Calibri"/>
        </w:rPr>
        <w:t>Признание амортизационных начислений</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Также в </w:t>
      </w:r>
      <w:hyperlink r:id="rId27" w:history="1">
        <w:r>
          <w:rPr>
            <w:rFonts w:ascii="Calibri" w:hAnsi="Calibri" w:cs="Calibri"/>
            <w:color w:val="0000FF"/>
          </w:rPr>
          <w:t>МСФО (IAS) 16</w:t>
        </w:r>
      </w:hyperlink>
      <w:r>
        <w:rPr>
          <w:rFonts w:ascii="Calibri" w:hAnsi="Calibri" w:cs="Calibri"/>
        </w:rPr>
        <w:t xml:space="preserve"> "Основные средства" указано, что амортизационные начисления за каждый период должны признаваться в прибыли или убытке, если они только не включаются в стоимость другого актива. В этом случае амортизационные начисления составляют часть себестоимости другого актива и включаются в его балансовую стоимость. Например, амортизация производственного оборудования включается в затраты по переработке материально-производственных запасов. Следовательно, по </w:t>
      </w:r>
      <w:hyperlink r:id="rId28" w:history="1">
        <w:r>
          <w:rPr>
            <w:rFonts w:ascii="Calibri" w:hAnsi="Calibri" w:cs="Calibri"/>
            <w:color w:val="0000FF"/>
          </w:rPr>
          <w:t>МСФО (IAS) 16</w:t>
        </w:r>
      </w:hyperlink>
      <w:r>
        <w:rPr>
          <w:rFonts w:ascii="Calibri" w:hAnsi="Calibri" w:cs="Calibri"/>
        </w:rPr>
        <w:t xml:space="preserve"> "Основные средства" амортизация по не используемым в производстве активам начисляется, но относится на прибыли и убытки и не включается в себестоимость продукции. Этого положения нет в отечественном бухгалтерском учете основных средств, и поэтому вся амортизация по используемым и не используемым в производстве основным средствам включается в затраты, а следовательно, увеличивает себестоимость, а в конечном итоге и цену продукции.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9" w:history="1">
        <w:r>
          <w:rPr>
            <w:rFonts w:ascii="Calibri" w:hAnsi="Calibri" w:cs="Calibri"/>
            <w:color w:val="0000FF"/>
          </w:rPr>
          <w:t>МСФО (IAS) 16</w:t>
        </w:r>
      </w:hyperlink>
      <w:r>
        <w:rPr>
          <w:rFonts w:ascii="Calibri" w:hAnsi="Calibri" w:cs="Calibri"/>
        </w:rPr>
        <w:t xml:space="preserve"> "Основные средства" значительное внимание уделяется обоснованию метода начисления амортизации, который должен отражать схему ожидаемого потребления организацией будущих экономических выгод. Применяемый к активу метод начисления амортизации подлежит пересмотру, по крайней мере, в конце каждого финансового года, и, если обнаруживается значительное изменение в ожидаемой схеме потребления будущих экономических выгод, заключенных в активе, данный метод должен быть скорректирован для отражения этого изменения. Поэтому для систематического распределения амортизируемой стоимости актива на протяжении срока его полезной службы могут использоваться различные методы. Организация выбирает тот метод начисления амортизации, который наиболее точно отражает расчетную схему потребления будущих экономических выгод, заключенных в активе. Выбранный метод применяется последовательно из периода в период, кроме случаев, когда происходит изменение в расчетной схеме потребления будущих экономических выгод. Следовательно, по каждому объекту основных средств, признаваемых организацией в качестве актива, необходимо организовать аналитический учет производительности, сменности и выработки с целью корректировки метода начисления амортизации.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0" w:history="1">
        <w:r>
          <w:rPr>
            <w:rFonts w:ascii="Calibri" w:hAnsi="Calibri" w:cs="Calibri"/>
            <w:color w:val="0000FF"/>
          </w:rPr>
          <w:t>МСФО (IAS) 16</w:t>
        </w:r>
      </w:hyperlink>
      <w:r>
        <w:rPr>
          <w:rFonts w:ascii="Calibri" w:hAnsi="Calibri" w:cs="Calibri"/>
        </w:rPr>
        <w:t xml:space="preserve"> "Основные средства" будущие экономические выгоды, заключенные в активе, потребляются главным образом через его использование. Соответственно, при определении срока полезной службы актива должны учитываться следующие факторы:</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предполагаемое использование актива (использование оценивается по расчетной мощности или физической производительности актива);</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предполагаемый физический износ, зависящий от производственных факторов, таких как количество смен, использующих данный актив, программа ремонта и обслуживания, а также условия хранения и обслуживания актива в период простоя;</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моральное или коммерческое устаревание в результате изменений или усовершенствования производственного процесса или в результате изменений объема спроса на рынке на продукцию или услугу, производимые или предоставляемые с использованием актива;</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юридические или аналогичные ограничения на использование актива, такие как сроки аренды.</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9" w:name="Par85"/>
      <w:bookmarkEnd w:id="9"/>
      <w:r>
        <w:rPr>
          <w:rFonts w:ascii="Calibri" w:hAnsi="Calibri" w:cs="Calibri"/>
        </w:rPr>
        <w:t>Себестоимость актива, созданного своими силами</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31" w:history="1">
        <w:r>
          <w:rPr>
            <w:rFonts w:ascii="Calibri" w:hAnsi="Calibri" w:cs="Calibri"/>
            <w:color w:val="0000FF"/>
          </w:rPr>
          <w:t>МСФО (IAS) 16</w:t>
        </w:r>
      </w:hyperlink>
      <w:r>
        <w:rPr>
          <w:rFonts w:ascii="Calibri" w:hAnsi="Calibri" w:cs="Calibri"/>
        </w:rPr>
        <w:t xml:space="preserve"> "Основные средства" определяется себестоимость актива, созданного своими силами. При этом любые внутренние прибыли, сверхнормативные потери сырья, труда или других ресурсов, понесенные при создании актива своими силами, не включаются в его первоначальную стоимость. В </w:t>
      </w:r>
      <w:hyperlink r:id="rId32" w:history="1">
        <w:r>
          <w:rPr>
            <w:rFonts w:ascii="Calibri" w:hAnsi="Calibri" w:cs="Calibri"/>
            <w:color w:val="0000FF"/>
          </w:rPr>
          <w:t>ПБУ 6/01</w:t>
        </w:r>
      </w:hyperlink>
      <w:r>
        <w:rPr>
          <w:rFonts w:ascii="Calibri" w:hAnsi="Calibri" w:cs="Calibri"/>
        </w:rPr>
        <w:t xml:space="preserve"> "Учет основных средств" этот вопрос не рассматривается, </w:t>
      </w:r>
      <w:proofErr w:type="gramStart"/>
      <w:r>
        <w:rPr>
          <w:rFonts w:ascii="Calibri" w:hAnsi="Calibri" w:cs="Calibri"/>
        </w:rPr>
        <w:t>а</w:t>
      </w:r>
      <w:proofErr w:type="gramEnd"/>
      <w:r>
        <w:rPr>
          <w:rFonts w:ascii="Calibri" w:hAnsi="Calibri" w:cs="Calibri"/>
        </w:rPr>
        <w:t xml:space="preserve"> следовательно, по умолчанию себестоимость созданных своими силами активов ничем не ограничивается, затем через амортизацию включается в себестоимость продукции.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Принципиальные отличия существуют в подходах к начислению амортизации основных средств в </w:t>
      </w:r>
      <w:hyperlink r:id="rId33" w:history="1">
        <w:r>
          <w:rPr>
            <w:rFonts w:ascii="Calibri" w:hAnsi="Calibri" w:cs="Calibri"/>
            <w:color w:val="0000FF"/>
          </w:rPr>
          <w:t>МСФО (IAS) 16</w:t>
        </w:r>
      </w:hyperlink>
      <w:r>
        <w:rPr>
          <w:rFonts w:ascii="Calibri" w:hAnsi="Calibri" w:cs="Calibri"/>
        </w:rPr>
        <w:t xml:space="preserve"> "Основные средства" и </w:t>
      </w:r>
      <w:hyperlink r:id="rId34" w:history="1">
        <w:r>
          <w:rPr>
            <w:rFonts w:ascii="Calibri" w:hAnsi="Calibri" w:cs="Calibri"/>
            <w:color w:val="0000FF"/>
          </w:rPr>
          <w:t>ПБУ 6/01</w:t>
        </w:r>
      </w:hyperlink>
      <w:r>
        <w:rPr>
          <w:rFonts w:ascii="Calibri" w:hAnsi="Calibri" w:cs="Calibri"/>
        </w:rPr>
        <w:t xml:space="preserve"> "Учет основных средств". Так, согласно </w:t>
      </w:r>
      <w:hyperlink r:id="rId35" w:history="1">
        <w:r>
          <w:rPr>
            <w:rFonts w:ascii="Calibri" w:hAnsi="Calibri" w:cs="Calibri"/>
            <w:color w:val="0000FF"/>
          </w:rPr>
          <w:t>п. 17</w:t>
        </w:r>
      </w:hyperlink>
      <w:r>
        <w:rPr>
          <w:rFonts w:ascii="Calibri" w:hAnsi="Calibri" w:cs="Calibri"/>
        </w:rPr>
        <w:t xml:space="preserve"> ПБУ 6/01 "Учет основных средств" стоимость объектов основных средств погашается посредством начисления амортизации. Начисление амортизации по объектам основных сре</w:t>
      </w:r>
      <w:proofErr w:type="gramStart"/>
      <w:r>
        <w:rPr>
          <w:rFonts w:ascii="Calibri" w:hAnsi="Calibri" w:cs="Calibri"/>
        </w:rPr>
        <w:t>дств пр</w:t>
      </w:r>
      <w:proofErr w:type="gramEnd"/>
      <w:r>
        <w:rPr>
          <w:rFonts w:ascii="Calibri" w:hAnsi="Calibri" w:cs="Calibri"/>
        </w:rPr>
        <w:t>оизводится независимо от результатов деятельности организации в отчетном периоде и отражается в бухгалтерском учете отчетного периода, к которому оно относится (</w:t>
      </w:r>
      <w:hyperlink r:id="rId36" w:history="1">
        <w:r>
          <w:rPr>
            <w:rFonts w:ascii="Calibri" w:hAnsi="Calibri" w:cs="Calibri"/>
            <w:color w:val="0000FF"/>
          </w:rPr>
          <w:t>п. 24</w:t>
        </w:r>
      </w:hyperlink>
      <w:r>
        <w:rPr>
          <w:rFonts w:ascii="Calibri" w:hAnsi="Calibri" w:cs="Calibri"/>
        </w:rPr>
        <w:t xml:space="preserve"> ПБУ 6/01 "Учет основных средств"). Суммы начисленной амортизации по объектам основных средств отражаются в бухгалтерском учете путем накопления соответствующих сумм на отдельном счете (</w:t>
      </w:r>
      <w:hyperlink r:id="rId37" w:history="1">
        <w:r>
          <w:rPr>
            <w:rFonts w:ascii="Calibri" w:hAnsi="Calibri" w:cs="Calibri"/>
            <w:color w:val="0000FF"/>
          </w:rPr>
          <w:t>п. 25</w:t>
        </w:r>
      </w:hyperlink>
      <w:r>
        <w:rPr>
          <w:rFonts w:ascii="Calibri" w:hAnsi="Calibri" w:cs="Calibri"/>
        </w:rPr>
        <w:t xml:space="preserve"> ПБУ 6/01 "Учет основных средств").</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8" w:history="1">
        <w:r>
          <w:rPr>
            <w:rFonts w:ascii="Calibri" w:hAnsi="Calibri" w:cs="Calibri"/>
            <w:color w:val="0000FF"/>
          </w:rPr>
          <w:t>МСФО (IAS) 16</w:t>
        </w:r>
      </w:hyperlink>
      <w:r>
        <w:rPr>
          <w:rFonts w:ascii="Calibri" w:hAnsi="Calibri" w:cs="Calibri"/>
        </w:rPr>
        <w:t xml:space="preserve"> "Основные средства" используемый метод начисления амортизации должен отражать схему ожидаемого потребления организацией будущих экономических выгод от использования основных средств. Как уже сказано выше, применяемый к активу метод начисления амортизации подлежит пересмотру, по крайней мере, в конце каждого финансового года, и, если обнаруживается значительное изменение в ожидаемой схеме потребления будущих экономических выгод, заключенных в активе, данный метод должен быть скорректирован для отражения этого изменения. Согласно </w:t>
      </w:r>
      <w:hyperlink r:id="rId39" w:history="1">
        <w:r>
          <w:rPr>
            <w:rFonts w:ascii="Calibri" w:hAnsi="Calibri" w:cs="Calibri"/>
            <w:color w:val="0000FF"/>
          </w:rPr>
          <w:t>ПБУ 6/01</w:t>
        </w:r>
      </w:hyperlink>
      <w:r>
        <w:rPr>
          <w:rFonts w:ascii="Calibri" w:hAnsi="Calibri" w:cs="Calibri"/>
        </w:rPr>
        <w:t xml:space="preserve"> "Учет основных средств" методы начисления амортизации основных средств не пересматриваются.</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10" w:name="Par91"/>
      <w:bookmarkEnd w:id="10"/>
      <w:r>
        <w:rPr>
          <w:rFonts w:ascii="Calibri" w:hAnsi="Calibri" w:cs="Calibri"/>
        </w:rPr>
        <w:t>Растет себестоимость, растут и цены</w:t>
      </w:r>
    </w:p>
    <w:p w:rsidR="0071644B" w:rsidRDefault="0071644B">
      <w:pPr>
        <w:widowControl w:val="0"/>
        <w:autoSpaceDE w:val="0"/>
        <w:autoSpaceDN w:val="0"/>
        <w:adjustRightInd w:val="0"/>
        <w:spacing w:after="0" w:line="240" w:lineRule="auto"/>
        <w:jc w:val="center"/>
        <w:rPr>
          <w:rFonts w:ascii="Calibri" w:hAnsi="Calibri" w:cs="Calibri"/>
        </w:rPr>
      </w:pPr>
      <w:r>
        <w:rPr>
          <w:rFonts w:ascii="Calibri" w:hAnsi="Calibri" w:cs="Calibri"/>
        </w:rPr>
        <w:t>(особенно у монополистов)</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Как показало проведенное выше сравнение основных положений по учету затрат и калькулированию себестоимости в </w:t>
      </w:r>
      <w:hyperlink r:id="rId40" w:history="1">
        <w:r>
          <w:rPr>
            <w:rFonts w:ascii="Calibri" w:hAnsi="Calibri" w:cs="Calibri"/>
            <w:color w:val="0000FF"/>
          </w:rPr>
          <w:t>МСФО (IAS) 2</w:t>
        </w:r>
      </w:hyperlink>
      <w:r>
        <w:rPr>
          <w:rFonts w:ascii="Calibri" w:hAnsi="Calibri" w:cs="Calibri"/>
        </w:rPr>
        <w:t xml:space="preserve"> "Учет запасов" и </w:t>
      </w:r>
      <w:hyperlink r:id="rId41" w:history="1">
        <w:r>
          <w:rPr>
            <w:rFonts w:ascii="Calibri" w:hAnsi="Calibri" w:cs="Calibri"/>
            <w:color w:val="0000FF"/>
          </w:rPr>
          <w:t>МСФО (IAS) 16</w:t>
        </w:r>
      </w:hyperlink>
      <w:r>
        <w:rPr>
          <w:rFonts w:ascii="Calibri" w:hAnsi="Calibri" w:cs="Calibri"/>
        </w:rPr>
        <w:t xml:space="preserve"> "Основные средства" с отечественными стандартами в области учета запасов и основных средств, в международных стандартах существует большое количество ограничений по включению затрат в себестоимость продукции, значительная часть непроизводительных и неэффективных затрат при определенных условиях относится на прибыли</w:t>
      </w:r>
      <w:proofErr w:type="gramEnd"/>
      <w:r>
        <w:rPr>
          <w:rFonts w:ascii="Calibri" w:hAnsi="Calibri" w:cs="Calibri"/>
        </w:rPr>
        <w:t xml:space="preserve"> и убытки организации. К сожалению, в отечественном учете таких ограничений практически нет, что ведет к увеличению затрат и росту себестоимости продукции, и в первую очередь у предприятий-монополистов.</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center"/>
        <w:outlineLvl w:val="0"/>
        <w:rPr>
          <w:rFonts w:ascii="Calibri" w:hAnsi="Calibri" w:cs="Calibri"/>
        </w:rPr>
      </w:pPr>
      <w:bookmarkStart w:id="11" w:name="Par96"/>
      <w:bookmarkEnd w:id="11"/>
      <w:r>
        <w:rPr>
          <w:rFonts w:ascii="Calibri" w:hAnsi="Calibri" w:cs="Calibri"/>
        </w:rPr>
        <w:t>Литература</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Вахрушина М.А. Международные стандарты финансовой отчетности: Учебное пособие / М.А. Вахрушина, Л.А. Мельникова, Н.С. Пласкова; под</w:t>
      </w:r>
      <w:proofErr w:type="gramStart"/>
      <w:r>
        <w:rPr>
          <w:rFonts w:ascii="Calibri" w:hAnsi="Calibri" w:cs="Calibri"/>
        </w:rPr>
        <w:t>.</w:t>
      </w:r>
      <w:proofErr w:type="gramEnd"/>
      <w:r>
        <w:rPr>
          <w:rFonts w:ascii="Calibri" w:hAnsi="Calibri" w:cs="Calibri"/>
        </w:rPr>
        <w:t xml:space="preserve"> </w:t>
      </w:r>
      <w:proofErr w:type="gramStart"/>
      <w:r>
        <w:rPr>
          <w:rFonts w:ascii="Calibri" w:hAnsi="Calibri" w:cs="Calibri"/>
        </w:rPr>
        <w:t>р</w:t>
      </w:r>
      <w:proofErr w:type="gramEnd"/>
      <w:r>
        <w:rPr>
          <w:rFonts w:ascii="Calibri" w:hAnsi="Calibri" w:cs="Calibri"/>
        </w:rPr>
        <w:t>ед. М.А. Вахрушиной. Москва: Омега-Л, 2006.</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42" w:history="1">
        <w:r>
          <w:rPr>
            <w:rFonts w:ascii="Calibri" w:hAnsi="Calibri" w:cs="Calibri"/>
            <w:color w:val="0000FF"/>
          </w:rPr>
          <w:t>ПБУ 6/01</w:t>
        </w:r>
      </w:hyperlink>
      <w:r>
        <w:rPr>
          <w:rFonts w:ascii="Calibri" w:hAnsi="Calibri" w:cs="Calibri"/>
        </w:rPr>
        <w:t xml:space="preserve"> "Учет основных средств", утв. Приказом Минфина России от 30.03.2001 N 26н, с изменениями и дополнениями.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Проект ПБУ 5/2012 "Учет запасов" (официальный сайт Минфина России).</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43" w:history="1">
        <w:r>
          <w:rPr>
            <w:rFonts w:ascii="Calibri" w:hAnsi="Calibri" w:cs="Calibri"/>
            <w:color w:val="0000FF"/>
          </w:rPr>
          <w:t>ПБУ 5/2001</w:t>
        </w:r>
      </w:hyperlink>
      <w:r>
        <w:rPr>
          <w:rFonts w:ascii="Calibri" w:hAnsi="Calibri" w:cs="Calibri"/>
        </w:rPr>
        <w:t xml:space="preserve"> "Учет материально-производственных запасов". Утв. Приказом Минфина России от 09.06.2001 N 44н.</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Методические </w:t>
      </w:r>
      <w:hyperlink r:id="rId44" w:history="1">
        <w:r>
          <w:rPr>
            <w:rFonts w:ascii="Calibri" w:hAnsi="Calibri" w:cs="Calibri"/>
            <w:color w:val="0000FF"/>
          </w:rPr>
          <w:t>указания</w:t>
        </w:r>
      </w:hyperlink>
      <w:r>
        <w:rPr>
          <w:rFonts w:ascii="Calibri" w:hAnsi="Calibri" w:cs="Calibri"/>
        </w:rPr>
        <w:t xml:space="preserve"> по бухгалтерскому учету материально-производственных запасов, утв. Приказом Минфина России от 28.12.2001 N 119н.</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Методические </w:t>
      </w:r>
      <w:hyperlink r:id="rId45" w:history="1">
        <w:r>
          <w:rPr>
            <w:rFonts w:ascii="Calibri" w:hAnsi="Calibri" w:cs="Calibri"/>
            <w:color w:val="0000FF"/>
          </w:rPr>
          <w:t>указания</w:t>
        </w:r>
      </w:hyperlink>
      <w:r>
        <w:rPr>
          <w:rFonts w:ascii="Calibri" w:hAnsi="Calibri" w:cs="Calibri"/>
        </w:rPr>
        <w:t xml:space="preserve"> по бухгалтерскому учету основных средств, утв. Приказом Минфина от 13.10.2003 N 91н.</w:t>
      </w:r>
    </w:p>
    <w:p w:rsidR="0071644B" w:rsidRDefault="0071644B">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Международные стандарты финансовой отчетности 2008: издание на русском языке. М.: </w:t>
      </w:r>
      <w:r>
        <w:rPr>
          <w:rFonts w:ascii="Calibri" w:hAnsi="Calibri" w:cs="Calibri"/>
        </w:rPr>
        <w:lastRenderedPageBreak/>
        <w:t>Аскери-АССА, 2008.</w:t>
      </w:r>
    </w:p>
    <w:p w:rsidR="0071644B" w:rsidRDefault="0071644B">
      <w:pPr>
        <w:widowControl w:val="0"/>
        <w:autoSpaceDE w:val="0"/>
        <w:autoSpaceDN w:val="0"/>
        <w:adjustRightInd w:val="0"/>
        <w:spacing w:after="0" w:line="240" w:lineRule="auto"/>
        <w:ind w:firstLine="540"/>
        <w:jc w:val="both"/>
        <w:rPr>
          <w:rFonts w:ascii="Calibri" w:hAnsi="Calibri" w:cs="Calibri"/>
        </w:rPr>
      </w:pP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И.Д.Демина</w:t>
      </w: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Д. э. </w:t>
      </w:r>
      <w:proofErr w:type="gramStart"/>
      <w:r>
        <w:rPr>
          <w:rFonts w:ascii="Calibri" w:hAnsi="Calibri" w:cs="Calibri"/>
        </w:rPr>
        <w:t>н</w:t>
      </w:r>
      <w:proofErr w:type="gramEnd"/>
      <w:r>
        <w:rPr>
          <w:rFonts w:ascii="Calibri" w:hAnsi="Calibri" w:cs="Calibri"/>
        </w:rPr>
        <w:t>.,</w:t>
      </w: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профессор</w:t>
      </w: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Финансовый университет</w:t>
      </w:r>
    </w:p>
    <w:p w:rsidR="0071644B" w:rsidRDefault="0071644B">
      <w:pPr>
        <w:widowControl w:val="0"/>
        <w:autoSpaceDE w:val="0"/>
        <w:autoSpaceDN w:val="0"/>
        <w:adjustRightInd w:val="0"/>
        <w:spacing w:after="0" w:line="240" w:lineRule="auto"/>
        <w:jc w:val="right"/>
        <w:rPr>
          <w:rFonts w:ascii="Calibri" w:hAnsi="Calibri" w:cs="Calibri"/>
        </w:rPr>
      </w:pPr>
      <w:r>
        <w:rPr>
          <w:rFonts w:ascii="Calibri" w:hAnsi="Calibri" w:cs="Calibri"/>
        </w:rPr>
        <w:t>при Правительстве РФ</w:t>
      </w:r>
    </w:p>
    <w:p w:rsidR="0071644B" w:rsidRDefault="0071644B">
      <w:pPr>
        <w:widowControl w:val="0"/>
        <w:autoSpaceDE w:val="0"/>
        <w:autoSpaceDN w:val="0"/>
        <w:adjustRightInd w:val="0"/>
        <w:spacing w:after="0" w:line="240" w:lineRule="auto"/>
        <w:rPr>
          <w:rFonts w:ascii="Calibri" w:hAnsi="Calibri" w:cs="Calibri"/>
        </w:rPr>
      </w:pPr>
      <w:r>
        <w:rPr>
          <w:rFonts w:ascii="Calibri" w:hAnsi="Calibri" w:cs="Calibri"/>
        </w:rPr>
        <w:t>Подписано в печать</w:t>
      </w:r>
    </w:p>
    <w:p w:rsidR="0071644B" w:rsidRDefault="0071644B">
      <w:pPr>
        <w:widowControl w:val="0"/>
        <w:autoSpaceDE w:val="0"/>
        <w:autoSpaceDN w:val="0"/>
        <w:adjustRightInd w:val="0"/>
        <w:spacing w:after="0" w:line="240" w:lineRule="auto"/>
        <w:rPr>
          <w:rFonts w:ascii="Calibri" w:hAnsi="Calibri" w:cs="Calibri"/>
        </w:rPr>
      </w:pPr>
      <w:r>
        <w:rPr>
          <w:rFonts w:ascii="Calibri" w:hAnsi="Calibri" w:cs="Calibri"/>
        </w:rPr>
        <w:t>30.01.2013</w:t>
      </w:r>
    </w:p>
    <w:p w:rsidR="0071644B" w:rsidRDefault="0071644B">
      <w:pPr>
        <w:widowControl w:val="0"/>
        <w:autoSpaceDE w:val="0"/>
        <w:autoSpaceDN w:val="0"/>
        <w:adjustRightInd w:val="0"/>
        <w:spacing w:after="0" w:line="240" w:lineRule="auto"/>
        <w:rPr>
          <w:rFonts w:ascii="Calibri" w:hAnsi="Calibri" w:cs="Calibri"/>
        </w:rPr>
      </w:pPr>
    </w:p>
    <w:p w:rsidR="0071644B" w:rsidRDefault="0071644B">
      <w:pPr>
        <w:widowControl w:val="0"/>
        <w:autoSpaceDE w:val="0"/>
        <w:autoSpaceDN w:val="0"/>
        <w:adjustRightInd w:val="0"/>
        <w:spacing w:after="0" w:line="240" w:lineRule="auto"/>
        <w:rPr>
          <w:rFonts w:ascii="Calibri" w:hAnsi="Calibri" w:cs="Calibri"/>
        </w:rPr>
      </w:pPr>
    </w:p>
    <w:p w:rsidR="0071644B" w:rsidRDefault="0071644B">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2360D" w:rsidRDefault="0092360D">
      <w:bookmarkStart w:id="12" w:name="_GoBack"/>
      <w:bookmarkEnd w:id="12"/>
    </w:p>
    <w:sectPr w:rsidR="0092360D" w:rsidSect="00F56F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44B"/>
    <w:rsid w:val="0071644B"/>
    <w:rsid w:val="009236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0B06F9D5C7CF509DAD2B42819EBD84860F2218342784C17932340EE48105F0309C110A5F9D764E8CCb9I" TargetMode="External"/><Relationship Id="rId18" Type="http://schemas.openxmlformats.org/officeDocument/2006/relationships/hyperlink" Target="consultantplus://offline/ref=C0B06F9D5C7CF509DAD2B42819EBD84860F2218342784C17932340EE48105F0309C110A5F9D764EFCCbAI" TargetMode="External"/><Relationship Id="rId26" Type="http://schemas.openxmlformats.org/officeDocument/2006/relationships/hyperlink" Target="consultantplus://offline/ref=C0B06F9D5C7CF509DAD2B42819EBD84860F22C854F7E4C17932340EE48105F0309C110A5F9D765EECCbDI" TargetMode="External"/><Relationship Id="rId39" Type="http://schemas.openxmlformats.org/officeDocument/2006/relationships/hyperlink" Target="consultantplus://offline/ref=C0B06F9D5C7CF509DAD2B42819EBD84860F024834E7F4C17932340EE48105F0309C110A5F9D764EBCCb9I" TargetMode="External"/><Relationship Id="rId21" Type="http://schemas.openxmlformats.org/officeDocument/2006/relationships/hyperlink" Target="consultantplus://offline/ref=C0B06F9D5C7CF509DAD2B42819EBD84860F024834E7C4C17932340EE48105F0309C110A5F9D764EBCCb0I" TargetMode="External"/><Relationship Id="rId34" Type="http://schemas.openxmlformats.org/officeDocument/2006/relationships/hyperlink" Target="consultantplus://offline/ref=C0B06F9D5C7CF509DAD2B42819EBD84860F024834E7F4C17932340EE48105F0309C110A5F9D764EDCCbBI" TargetMode="External"/><Relationship Id="rId42" Type="http://schemas.openxmlformats.org/officeDocument/2006/relationships/hyperlink" Target="consultantplus://offline/ref=C0B06F9D5C7CF509DAD2B42819EBD84860F024834E7F4C17932340EE48105F0309C110A5F9D764EDCCbBI" TargetMode="External"/><Relationship Id="rId47" Type="http://schemas.openxmlformats.org/officeDocument/2006/relationships/theme" Target="theme/theme1.xml"/><Relationship Id="rId7" Type="http://schemas.openxmlformats.org/officeDocument/2006/relationships/hyperlink" Target="consultantplus://offline/ref=C0B06F9D5C7CF509DAD2B42819EBD84860F024834E7E4C17932340EE48105F0309C110A5F9D764EECCbEI" TargetMode="External"/><Relationship Id="rId2" Type="http://schemas.microsoft.com/office/2007/relationships/stylesWithEffects" Target="stylesWithEffects.xml"/><Relationship Id="rId16" Type="http://schemas.openxmlformats.org/officeDocument/2006/relationships/hyperlink" Target="consultantplus://offline/ref=C0B06F9D5C7CF509DAD2B42819EBD84860F2218342784C17932340EE48C1b0I" TargetMode="External"/><Relationship Id="rId29" Type="http://schemas.openxmlformats.org/officeDocument/2006/relationships/hyperlink" Target="consultantplus://offline/ref=C0B06F9D5C7CF509DAD2B42819EBD84860F22C854F7E4C17932340EE48C1b0I" TargetMode="External"/><Relationship Id="rId1" Type="http://schemas.openxmlformats.org/officeDocument/2006/relationships/styles" Target="styles.xml"/><Relationship Id="rId6" Type="http://schemas.openxmlformats.org/officeDocument/2006/relationships/hyperlink" Target="consultantplus://offline/ref=C0B06F9D5C7CF509DAD2B42819EBD84860F024834E7E4C17932340EE48105F0309C110A5F9D764EDCCb8I" TargetMode="External"/><Relationship Id="rId11" Type="http://schemas.openxmlformats.org/officeDocument/2006/relationships/hyperlink" Target="consultantplus://offline/ref=C0B06F9D5C7CF509DAD2B42819EBD84860F024834E7E4C17932340EE48105F0309C110A5F9D767EFCCbBI" TargetMode="External"/><Relationship Id="rId24" Type="http://schemas.openxmlformats.org/officeDocument/2006/relationships/hyperlink" Target="consultantplus://offline/ref=C0B06F9D5C7CF509DAD2B42819EBD84860F22C854F7E4C17932340EE48105F0309C110A5F9D764EECCbDI" TargetMode="External"/><Relationship Id="rId32" Type="http://schemas.openxmlformats.org/officeDocument/2006/relationships/hyperlink" Target="consultantplus://offline/ref=C0B06F9D5C7CF509DAD2B42819EBD84860F024834E7F4C17932340EE48105F0309C110A5F9D764EDCCbBI" TargetMode="External"/><Relationship Id="rId37" Type="http://schemas.openxmlformats.org/officeDocument/2006/relationships/hyperlink" Target="consultantplus://offline/ref=C0B06F9D5C7CF509DAD2B42819EBD84860F024834E7F4C17932340EE48105F0309C110A5F9D764E4CCb0I" TargetMode="External"/><Relationship Id="rId40" Type="http://schemas.openxmlformats.org/officeDocument/2006/relationships/hyperlink" Target="consultantplus://offline/ref=C0B06F9D5C7CF509DAD2B42819EBD84860F2218342784C17932340EE48C1b0I" TargetMode="External"/><Relationship Id="rId45" Type="http://schemas.openxmlformats.org/officeDocument/2006/relationships/hyperlink" Target="consultantplus://offline/ref=C0B06F9D5C7CF509DAD2B42819EBD84860F024834E7C4C17932340EE48105F0309C110A5F9D764EDCCbDI" TargetMode="External"/><Relationship Id="rId5" Type="http://schemas.openxmlformats.org/officeDocument/2006/relationships/hyperlink" Target="consultantplus://offline/ref=C0B06F9D5C7CF509DAD2B42819EBD84860F2218342784C17932340EE48C1b0I" TargetMode="External"/><Relationship Id="rId15" Type="http://schemas.openxmlformats.org/officeDocument/2006/relationships/hyperlink" Target="consultantplus://offline/ref=C0B06F9D5C7CF509DAD2B42819EBD84860F2218342784C17932340EE48105F0309C110A5F9D764EFCCbAI" TargetMode="External"/><Relationship Id="rId23" Type="http://schemas.openxmlformats.org/officeDocument/2006/relationships/hyperlink" Target="consultantplus://offline/ref=C0B06F9D5C7CF509DAD2B42819EBD84860F2218342784C17932340EE48105F0309C110A5F9D764EFCCbAI" TargetMode="External"/><Relationship Id="rId28" Type="http://schemas.openxmlformats.org/officeDocument/2006/relationships/hyperlink" Target="consultantplus://offline/ref=C0B06F9D5C7CF509DAD2B42819EBD84860F22C854F7E4C17932340EE48C1b0I" TargetMode="External"/><Relationship Id="rId36" Type="http://schemas.openxmlformats.org/officeDocument/2006/relationships/hyperlink" Target="consultantplus://offline/ref=C0B06F9D5C7CF509DAD2B42819EBD84860F024834E7F4C17932340EE48105F0309C110A5F9D764E4CCb1I" TargetMode="External"/><Relationship Id="rId10" Type="http://schemas.openxmlformats.org/officeDocument/2006/relationships/hyperlink" Target="consultantplus://offline/ref=C0B06F9D5C7CF509DAD2B42819EBD84860F024834E7E4C17932340EE48105F0309C110A5F9D767EFCCb9I" TargetMode="External"/><Relationship Id="rId19" Type="http://schemas.openxmlformats.org/officeDocument/2006/relationships/hyperlink" Target="consultantplus://offline/ref=C0B06F9D5C7CF509DAD2B42819EBD84860F2218342784C17932340EE48105F0309C110A5F9D764EFCCbAI" TargetMode="External"/><Relationship Id="rId31" Type="http://schemas.openxmlformats.org/officeDocument/2006/relationships/hyperlink" Target="consultantplus://offline/ref=C0B06F9D5C7CF509DAD2B42819EBD84860F22C854F7E4C17932340EE48105F0309C110A5F9D764EBCCb9I" TargetMode="External"/><Relationship Id="rId44" Type="http://schemas.openxmlformats.org/officeDocument/2006/relationships/hyperlink" Target="consultantplus://offline/ref=C0B06F9D5C7CF509DAD2B42819EBD84860F024834E7E4C17932340EE48105F0309C110A5F9D764EDCCb8I" TargetMode="External"/><Relationship Id="rId4" Type="http://schemas.openxmlformats.org/officeDocument/2006/relationships/webSettings" Target="webSettings.xml"/><Relationship Id="rId9" Type="http://schemas.openxmlformats.org/officeDocument/2006/relationships/hyperlink" Target="consultantplus://offline/ref=C0B06F9D5C7CF509DAD2B42819EBD84860F024834E7E4C17932340EE48105F0309C110A5F9D767EECCbEI" TargetMode="External"/><Relationship Id="rId14" Type="http://schemas.openxmlformats.org/officeDocument/2006/relationships/hyperlink" Target="consultantplus://offline/ref=C0B06F9D5C7CF509DAD2B42819EBD84860F2218342784C17932340EE48105F0309C110A5F9D764EFCCbAI" TargetMode="External"/><Relationship Id="rId22" Type="http://schemas.openxmlformats.org/officeDocument/2006/relationships/hyperlink" Target="consultantplus://offline/ref=C0B06F9D5C7CF509DAD2B42819EBD84860F024834E7F4C17932340EE48105F0309C110A5F9D764EDCCbBI" TargetMode="External"/><Relationship Id="rId27" Type="http://schemas.openxmlformats.org/officeDocument/2006/relationships/hyperlink" Target="consultantplus://offline/ref=C0B06F9D5C7CF509DAD2B42819EBD84860F22C854F7E4C17932340EE48105F0309C110A5F9D765EDCCbFI" TargetMode="External"/><Relationship Id="rId30" Type="http://schemas.openxmlformats.org/officeDocument/2006/relationships/hyperlink" Target="consultantplus://offline/ref=C0B06F9D5C7CF509DAD2B42819EBD84860F22C854F7E4C17932340EE48105F0309C110A5F9D765EECCbCI" TargetMode="External"/><Relationship Id="rId35" Type="http://schemas.openxmlformats.org/officeDocument/2006/relationships/hyperlink" Target="consultantplus://offline/ref=C0B06F9D5C7CF509DAD2B42819EBD84860F024834E7F4C17932340EE48105F0309C110A5F9D764EACCbBI" TargetMode="External"/><Relationship Id="rId43" Type="http://schemas.openxmlformats.org/officeDocument/2006/relationships/hyperlink" Target="consultantplus://offline/ref=C0B06F9D5C7CF509DAD2B42819EBD84860F122804B7B4C17932340EE48105F0309C110A5F9D764EDCCbCI" TargetMode="External"/><Relationship Id="rId8" Type="http://schemas.openxmlformats.org/officeDocument/2006/relationships/hyperlink" Target="consultantplus://offline/ref=C0B06F9D5C7CF509DAD2B42819EBD84860F024834E7E4C17932340EE48105F0309C110A5F9D767EDCCbCI" TargetMode="External"/><Relationship Id="rId3" Type="http://schemas.openxmlformats.org/officeDocument/2006/relationships/settings" Target="settings.xml"/><Relationship Id="rId12" Type="http://schemas.openxmlformats.org/officeDocument/2006/relationships/hyperlink" Target="consultantplus://offline/ref=C0B06F9D5C7CF509DAD2B42819EBD84860F024834E7E4C17932340EE48105F0309C110A5F9D764EDCCb8I" TargetMode="External"/><Relationship Id="rId17" Type="http://schemas.openxmlformats.org/officeDocument/2006/relationships/hyperlink" Target="consultantplus://offline/ref=C0B06F9D5C7CF509DAD2B42819EBD84860F2218342784C17932340EE48105F0309C110A5F9D764EFCCbAI" TargetMode="External"/><Relationship Id="rId25" Type="http://schemas.openxmlformats.org/officeDocument/2006/relationships/hyperlink" Target="consultantplus://offline/ref=C0B06F9D5C7CF509DAD2B42819EBD84860F024834E7F4C17932340EE48105F0309C110A5F9D765EDCCbBI" TargetMode="External"/><Relationship Id="rId33" Type="http://schemas.openxmlformats.org/officeDocument/2006/relationships/hyperlink" Target="consultantplus://offline/ref=C0B06F9D5C7CF509DAD2B42819EBD84860F22C854F7E4C17932340EE48C1b0I" TargetMode="External"/><Relationship Id="rId38" Type="http://schemas.openxmlformats.org/officeDocument/2006/relationships/hyperlink" Target="consultantplus://offline/ref=C0B06F9D5C7CF509DAD2B42819EBD84860F22C854F7E4C17932340EE48105F0309C110A5F9D765EFCCbFI" TargetMode="External"/><Relationship Id="rId46" Type="http://schemas.openxmlformats.org/officeDocument/2006/relationships/fontTable" Target="fontTable.xml"/><Relationship Id="rId20" Type="http://schemas.openxmlformats.org/officeDocument/2006/relationships/hyperlink" Target="consultantplus://offline/ref=C0B06F9D5C7CF509DAD2B42819EBD84860F024834E7C4C17932340EE48105F0309C110A5F9D764EBCCb0I" TargetMode="External"/><Relationship Id="rId41" Type="http://schemas.openxmlformats.org/officeDocument/2006/relationships/hyperlink" Target="consultantplus://offline/ref=C0B06F9D5C7CF509DAD2B42819EBD84860F22C854F7E4C17932340EE48C1b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4147</Words>
  <Characters>23642</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Глазунова Нина А.</dc:creator>
  <cp:lastModifiedBy>Глазунова Нина А.</cp:lastModifiedBy>
  <cp:revision>1</cp:revision>
  <dcterms:created xsi:type="dcterms:W3CDTF">2014-04-29T08:27:00Z</dcterms:created>
  <dcterms:modified xsi:type="dcterms:W3CDTF">2014-04-29T08:28:00Z</dcterms:modified>
</cp:coreProperties>
</file>